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5B4FB9AC"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omplete the following problems from Chapter 3</w:t>
      </w:r>
      <w:bookmarkStart w:id="0" w:name="_GoBack"/>
      <w:bookmarkEnd w:id="0"/>
      <w:r w:rsidRPr="00E66F90">
        <w:rPr>
          <w:rFonts w:ascii="Trebuchet MS" w:eastAsia="Times New Roman" w:hAnsi="Trebuchet MS" w:cs="Times New Roman"/>
          <w:b/>
          <w:sz w:val="20"/>
          <w:szCs w:val="20"/>
        </w:rPr>
        <w:t>:</w:t>
      </w:r>
    </w:p>
    <w:p w14:paraId="1EFD02C3"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P3-3</w:t>
      </w:r>
    </w:p>
    <w:p w14:paraId="6B5FA3C4"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P3-6</w:t>
      </w:r>
    </w:p>
    <w:p w14:paraId="4F1A877E"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P3-10</w:t>
      </w:r>
    </w:p>
    <w:p w14:paraId="47CCDF30"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P3-16</w:t>
      </w:r>
    </w:p>
    <w:p w14:paraId="199B1C4A"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P3-18</w:t>
      </w:r>
    </w:p>
    <w:p w14:paraId="6E991347"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P3-20</w:t>
      </w:r>
    </w:p>
    <w:p w14:paraId="0185872E" w14:textId="77777777" w:rsidR="00E66F90" w:rsidRPr="00E66F90" w:rsidRDefault="00E66F90" w:rsidP="00E66F90">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P3-21</w:t>
      </w: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77777777"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 in class. I recommend them for all your work, both at GCU and later in your career.</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lastRenderedPageBreak/>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6BDC81DA" w14:textId="056E69E8" w:rsidR="00E66F90" w:rsidRDefault="00E66F90" w:rsidP="00E66F90"/>
    <w:p w14:paraId="77E1975C" w14:textId="24789976" w:rsidR="00E66F90" w:rsidRDefault="00E66F90" w:rsidP="00E66F90"/>
    <w:p w14:paraId="5A0D9738" w14:textId="77777777" w:rsidR="00E66F90" w:rsidRPr="00E66F90" w:rsidRDefault="00E66F90" w:rsidP="00E66F90">
      <w:pPr>
        <w:autoSpaceDE w:val="0"/>
        <w:autoSpaceDN w:val="0"/>
        <w:adjustRightInd w:val="0"/>
        <w:spacing w:after="0"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t>P3-3</w:t>
      </w:r>
      <w:r w:rsidRPr="00E66F90">
        <w:rPr>
          <w:rFonts w:ascii="Trebuchet MS" w:eastAsia="Times New Roman" w:hAnsi="Trebuchet MS" w:cs="Times New Roman"/>
          <w:sz w:val="32"/>
          <w:szCs w:val="32"/>
        </w:rPr>
        <w:t xml:space="preserve"> </w:t>
      </w:r>
    </w:p>
    <w:p w14:paraId="6D0999A7" w14:textId="59AA9F60" w:rsidR="00E66F90" w:rsidRPr="006766D5" w:rsidRDefault="00E66F90" w:rsidP="00E66F90">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Income statement preparation </w:t>
      </w:r>
      <w:r w:rsidRPr="006766D5">
        <w:rPr>
          <w:rFonts w:ascii="SabonLTStd-Roman" w:hAnsi="SabonLTStd-Roman" w:cs="SabonLTStd-Roman"/>
          <w:sz w:val="24"/>
          <w:szCs w:val="24"/>
        </w:rPr>
        <w:t>On December 31, 2015, Cathy Chen, a self-employed</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certified public accountant (CPA),</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completed her first full year in business. During</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the year, she billed $360,000 for her accounting services. She had two employees, a</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bookkeeper and a clerical assistant. In addition to her </w:t>
      </w:r>
      <w:r w:rsidRPr="006766D5">
        <w:rPr>
          <w:rFonts w:ascii="SabonLTStd-Italic" w:hAnsi="SabonLTStd-Italic" w:cs="SabonLTStd-Italic"/>
          <w:i/>
          <w:iCs/>
          <w:sz w:val="24"/>
          <w:szCs w:val="24"/>
        </w:rPr>
        <w:t xml:space="preserve">monthly </w:t>
      </w:r>
      <w:r w:rsidRPr="006766D5">
        <w:rPr>
          <w:rFonts w:ascii="SabonLTStd-Roman" w:hAnsi="SabonLTStd-Roman" w:cs="SabonLTStd-Roman"/>
          <w:sz w:val="24"/>
          <w:szCs w:val="24"/>
        </w:rPr>
        <w:t>salary of $8,000,</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Ms. Chen paid </w:t>
      </w:r>
      <w:r w:rsidRPr="006766D5">
        <w:rPr>
          <w:rFonts w:ascii="SabonLTStd-Italic" w:hAnsi="SabonLTStd-Italic" w:cs="SabonLTStd-Italic"/>
          <w:i/>
          <w:iCs/>
          <w:sz w:val="24"/>
          <w:szCs w:val="24"/>
        </w:rPr>
        <w:t xml:space="preserve">annual </w:t>
      </w:r>
      <w:r w:rsidRPr="006766D5">
        <w:rPr>
          <w:rFonts w:ascii="SabonLTStd-Roman" w:hAnsi="SabonLTStd-Roman" w:cs="SabonLTStd-Roman"/>
          <w:sz w:val="24"/>
          <w:szCs w:val="24"/>
        </w:rPr>
        <w:t>salaries of $48,000 and $36,000 to the bookkeeper and the</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clerical assistant, respectively. Employment taxes and benefit costs for Ms. Chen and</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her employees totaled $34,600 for the year. Expenses for office supplies, including</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postage, totaled $10,400 for the year. In addition, Ms. Chen spent $17,000 during</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the year on tax-deductible travel and entertainment associated with client visits</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and new business development. Lease payments for the office space rented (a </w:t>
      </w:r>
      <w:proofErr w:type="spellStart"/>
      <w:r w:rsidRPr="006766D5">
        <w:rPr>
          <w:rFonts w:ascii="SabonLTStd-Roman" w:hAnsi="SabonLTStd-Roman" w:cs="SabonLTStd-Roman"/>
          <w:sz w:val="24"/>
          <w:szCs w:val="24"/>
        </w:rPr>
        <w:t>taxdeductible</w:t>
      </w:r>
      <w:proofErr w:type="spellEnd"/>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expense) were $2,700 </w:t>
      </w:r>
      <w:r w:rsidRPr="006766D5">
        <w:rPr>
          <w:rFonts w:ascii="SabonLTStd-Italic" w:hAnsi="SabonLTStd-Italic" w:cs="SabonLTStd-Italic"/>
          <w:i/>
          <w:iCs/>
          <w:sz w:val="24"/>
          <w:szCs w:val="24"/>
        </w:rPr>
        <w:t xml:space="preserve">per month. </w:t>
      </w:r>
      <w:r w:rsidRPr="006766D5">
        <w:rPr>
          <w:rFonts w:ascii="SabonLTStd-Roman" w:hAnsi="SabonLTStd-Roman" w:cs="SabonLTStd-Roman"/>
          <w:sz w:val="24"/>
          <w:szCs w:val="24"/>
        </w:rPr>
        <w:t>Depreciation expense on the office</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furniture and fixtures was $15,600 for the year. During the year, Ms. Chen paid</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interest of $15,000 on the $120,000 borrowed to start the business. She paid an</w:t>
      </w:r>
      <w:r w:rsidR="006766D5" w:rsidRPr="006766D5">
        <w:rPr>
          <w:rFonts w:ascii="SabonLTStd-Roman" w:hAnsi="SabonLTStd-Roman" w:cs="SabonLTStd-Roman"/>
          <w:sz w:val="24"/>
          <w:szCs w:val="24"/>
        </w:rPr>
        <w:t xml:space="preserve"> </w:t>
      </w:r>
      <w:r w:rsidRPr="006766D5">
        <w:rPr>
          <w:rFonts w:ascii="SabonLTStd-Roman" w:hAnsi="SabonLTStd-Roman" w:cs="SabonLTStd-Roman"/>
          <w:sz w:val="24"/>
          <w:szCs w:val="24"/>
        </w:rPr>
        <w:t>average tax rate of 30% during 2015.</w:t>
      </w:r>
    </w:p>
    <w:p w14:paraId="00C99EDE" w14:textId="77777777" w:rsidR="00E66F90" w:rsidRPr="006766D5" w:rsidRDefault="00E66F90" w:rsidP="00E66F90">
      <w:pPr>
        <w:autoSpaceDE w:val="0"/>
        <w:autoSpaceDN w:val="0"/>
        <w:adjustRightInd w:val="0"/>
        <w:spacing w:after="0" w:line="240" w:lineRule="auto"/>
        <w:rPr>
          <w:rFonts w:ascii="SabonLTStd-Bold" w:hAnsi="SabonLTStd-Bold" w:cs="SabonLTStd-Bold"/>
          <w:b/>
          <w:bCs/>
          <w:sz w:val="24"/>
          <w:szCs w:val="24"/>
        </w:rPr>
      </w:pPr>
    </w:p>
    <w:p w14:paraId="24588086" w14:textId="566F241F" w:rsidR="00E66F90" w:rsidRPr="006766D5" w:rsidRDefault="00E66F90" w:rsidP="00E66F90">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a. </w:t>
      </w:r>
      <w:r w:rsidRPr="006766D5">
        <w:rPr>
          <w:rFonts w:ascii="SabonLTStd-Roman" w:hAnsi="SabonLTStd-Roman" w:cs="SabonLTStd-Roman"/>
          <w:sz w:val="24"/>
          <w:szCs w:val="24"/>
        </w:rPr>
        <w:t>Prepare an income statement for Cathy Chen, CPA, for the year ended December</w:t>
      </w:r>
    </w:p>
    <w:p w14:paraId="72475B09" w14:textId="77777777" w:rsidR="00E66F90" w:rsidRPr="006766D5" w:rsidRDefault="00E66F90" w:rsidP="00E66F90">
      <w:pPr>
        <w:autoSpaceDE w:val="0"/>
        <w:autoSpaceDN w:val="0"/>
        <w:adjustRightInd w:val="0"/>
        <w:spacing w:after="0" w:line="240" w:lineRule="auto"/>
        <w:rPr>
          <w:rFonts w:ascii="SabonLTStd-Roman" w:hAnsi="SabonLTStd-Roman" w:cs="SabonLTStd-Roman"/>
          <w:sz w:val="24"/>
          <w:szCs w:val="24"/>
        </w:rPr>
      </w:pPr>
      <w:r w:rsidRPr="006766D5">
        <w:rPr>
          <w:rFonts w:ascii="SabonLTStd-Roman" w:hAnsi="SabonLTStd-Roman" w:cs="SabonLTStd-Roman"/>
          <w:sz w:val="24"/>
          <w:szCs w:val="24"/>
        </w:rPr>
        <w:t>31, 2015.</w:t>
      </w:r>
    </w:p>
    <w:p w14:paraId="4E820C88" w14:textId="361F37B1" w:rsidR="00E66F90" w:rsidRPr="006766D5" w:rsidRDefault="00E66F90" w:rsidP="00E66F90">
      <w:pPr>
        <w:shd w:val="clear" w:color="auto" w:fill="FFFFFF"/>
        <w:spacing w:before="100" w:beforeAutospacing="1" w:after="100" w:afterAutospacing="1"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b. </w:t>
      </w:r>
      <w:r w:rsidRPr="006766D5">
        <w:rPr>
          <w:rFonts w:ascii="SabonLTStd-Roman" w:hAnsi="SabonLTStd-Roman" w:cs="SabonLTStd-Roman"/>
          <w:sz w:val="24"/>
          <w:szCs w:val="24"/>
        </w:rPr>
        <w:t>Evaluate her 2015 financial performance.</w:t>
      </w:r>
    </w:p>
    <w:p w14:paraId="66A85811" w14:textId="63476B0D"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083E0E2C" w14:textId="2D9AE081"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t>P3-6</w:t>
      </w:r>
    </w:p>
    <w:p w14:paraId="29A379E0" w14:textId="0825038D" w:rsidR="00E66F90" w:rsidRPr="00E66F90" w:rsidRDefault="00E66F90" w:rsidP="00E66F90">
      <w:pPr>
        <w:autoSpaceDE w:val="0"/>
        <w:autoSpaceDN w:val="0"/>
        <w:adjustRightInd w:val="0"/>
        <w:spacing w:after="0" w:line="240" w:lineRule="auto"/>
        <w:rPr>
          <w:rFonts w:ascii="SabonLTStd-Roman" w:hAnsi="SabonLTStd-Roman" w:cs="SabonLTStd-Roman"/>
          <w:sz w:val="19"/>
          <w:szCs w:val="19"/>
        </w:rPr>
      </w:pPr>
      <w:r w:rsidRPr="006766D5">
        <w:rPr>
          <w:rFonts w:ascii="SabonLTStd-Bold" w:hAnsi="SabonLTStd-Bold" w:cs="SabonLTStd-Bold"/>
          <w:b/>
          <w:bCs/>
          <w:sz w:val="24"/>
          <w:szCs w:val="24"/>
        </w:rPr>
        <w:t xml:space="preserve">Balance sheet preparation </w:t>
      </w:r>
      <w:r w:rsidRPr="006766D5">
        <w:rPr>
          <w:rFonts w:ascii="SabonLTStd-Roman" w:hAnsi="SabonLTStd-Roman" w:cs="SabonLTStd-Roman"/>
          <w:sz w:val="24"/>
          <w:szCs w:val="24"/>
        </w:rPr>
        <w:t xml:space="preserve">Use the </w:t>
      </w:r>
      <w:r w:rsidRPr="006766D5">
        <w:rPr>
          <w:rFonts w:ascii="SabonLTStd-Italic" w:hAnsi="SabonLTStd-Italic" w:cs="SabonLTStd-Italic"/>
          <w:i/>
          <w:iCs/>
          <w:sz w:val="24"/>
          <w:szCs w:val="24"/>
        </w:rPr>
        <w:t xml:space="preserve">appropriate items </w:t>
      </w:r>
      <w:r w:rsidRPr="006766D5">
        <w:rPr>
          <w:rFonts w:ascii="SabonLTStd-Roman" w:hAnsi="SabonLTStd-Roman" w:cs="SabonLTStd-Roman"/>
          <w:sz w:val="24"/>
          <w:szCs w:val="24"/>
        </w:rPr>
        <w:t>from the following list to prepare</w:t>
      </w:r>
      <w:r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in good form </w:t>
      </w:r>
      <w:proofErr w:type="spellStart"/>
      <w:r w:rsidRPr="006766D5">
        <w:rPr>
          <w:rFonts w:ascii="SabonLTStd-Roman" w:hAnsi="SabonLTStd-Roman" w:cs="SabonLTStd-Roman"/>
          <w:sz w:val="24"/>
          <w:szCs w:val="24"/>
        </w:rPr>
        <w:t>Mellark’s</w:t>
      </w:r>
      <w:proofErr w:type="spellEnd"/>
      <w:r w:rsidRPr="006766D5">
        <w:rPr>
          <w:rFonts w:ascii="SabonLTStd-Roman" w:hAnsi="SabonLTStd-Roman" w:cs="SabonLTStd-Roman"/>
          <w:sz w:val="24"/>
          <w:szCs w:val="24"/>
        </w:rPr>
        <w:t xml:space="preserve"> Baked Goods balance sheet at December 31, 2015</w:t>
      </w:r>
      <w:r>
        <w:rPr>
          <w:rFonts w:ascii="SabonLTStd-Roman" w:hAnsi="SabonLTStd-Roman" w:cs="SabonLTStd-Roman"/>
          <w:sz w:val="19"/>
          <w:szCs w:val="19"/>
        </w:rPr>
        <w:t>.</w:t>
      </w:r>
    </w:p>
    <w:p w14:paraId="732FB4F5" w14:textId="7C407ABE" w:rsidR="00E66F90" w:rsidRPr="00E66F90" w:rsidRDefault="006766D5"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Pr>
          <w:rFonts w:ascii="Trebuchet MS" w:eastAsia="Times New Roman" w:hAnsi="Trebuchet MS" w:cs="Times New Roman"/>
          <w:noProof/>
          <w:color w:val="555555"/>
          <w:sz w:val="20"/>
          <w:szCs w:val="20"/>
        </w:rPr>
        <w:lastRenderedPageBreak/>
        <w:drawing>
          <wp:inline distT="0" distB="0" distL="0" distR="0" wp14:anchorId="50B1BF03" wp14:editId="6FA272AE">
            <wp:extent cx="5249008" cy="2553056"/>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3-6.PNG"/>
                    <pic:cNvPicPr/>
                  </pic:nvPicPr>
                  <pic:blipFill>
                    <a:blip r:embed="rId5">
                      <a:extLst>
                        <a:ext uri="{28A0092B-C50C-407E-A947-70E740481C1C}">
                          <a14:useLocalDpi xmlns:a14="http://schemas.microsoft.com/office/drawing/2010/main" val="0"/>
                        </a:ext>
                      </a:extLst>
                    </a:blip>
                    <a:stretch>
                      <a:fillRect/>
                    </a:stretch>
                  </pic:blipFill>
                  <pic:spPr>
                    <a:xfrm>
                      <a:off x="0" y="0"/>
                      <a:ext cx="5249008" cy="2553056"/>
                    </a:xfrm>
                    <a:prstGeom prst="rect">
                      <a:avLst/>
                    </a:prstGeom>
                  </pic:spPr>
                </pic:pic>
              </a:graphicData>
            </a:graphic>
          </wp:inline>
        </w:drawing>
      </w:r>
    </w:p>
    <w:p w14:paraId="41A41337" w14:textId="0B43E8AF" w:rsidR="00E66F90" w:rsidRDefault="00E66F90" w:rsidP="00E66F90"/>
    <w:p w14:paraId="47422CE0" w14:textId="50C07A00" w:rsidR="006766D5" w:rsidRDefault="006766D5" w:rsidP="00E66F90"/>
    <w:p w14:paraId="619B221B" w14:textId="77777777" w:rsidR="006766D5" w:rsidRPr="00E66F90" w:rsidRDefault="006766D5" w:rsidP="006766D5">
      <w:pPr>
        <w:shd w:val="clear" w:color="auto" w:fill="FFFFFF"/>
        <w:spacing w:before="100" w:beforeAutospacing="1" w:after="100" w:afterAutospacing="1"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t>P3-10</w:t>
      </w:r>
    </w:p>
    <w:p w14:paraId="5C273F63" w14:textId="5866C64D"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Statement of retained earnings </w:t>
      </w:r>
      <w:r w:rsidRPr="006766D5">
        <w:rPr>
          <w:rFonts w:ascii="SabonLTStd-Roman" w:hAnsi="SabonLTStd-Roman" w:cs="SabonLTStd-Roman"/>
          <w:sz w:val="24"/>
          <w:szCs w:val="24"/>
        </w:rPr>
        <w:t>Hayes Enterprises began 2015 with a retained earnings</w:t>
      </w:r>
      <w:r>
        <w:rPr>
          <w:rFonts w:ascii="SabonLTStd-Roman" w:hAnsi="SabonLTStd-Roman" w:cs="SabonLTStd-Roman"/>
          <w:sz w:val="24"/>
          <w:szCs w:val="24"/>
        </w:rPr>
        <w:t xml:space="preserve"> </w:t>
      </w:r>
      <w:r w:rsidRPr="006766D5">
        <w:rPr>
          <w:rFonts w:ascii="SabonLTStd-Roman" w:hAnsi="SabonLTStd-Roman" w:cs="SabonLTStd-Roman"/>
          <w:sz w:val="24"/>
          <w:szCs w:val="24"/>
        </w:rPr>
        <w:t>balance</w:t>
      </w:r>
      <w:r>
        <w:rPr>
          <w:rFonts w:ascii="SabonLTStd-Roman" w:hAnsi="SabonLTStd-Roman" w:cs="SabonLTStd-Roman"/>
          <w:sz w:val="24"/>
          <w:szCs w:val="24"/>
        </w:rPr>
        <w:t xml:space="preserve"> </w:t>
      </w:r>
      <w:r w:rsidRPr="006766D5">
        <w:rPr>
          <w:rFonts w:ascii="SabonLTStd-Roman" w:hAnsi="SabonLTStd-Roman" w:cs="SabonLTStd-Roman"/>
          <w:sz w:val="24"/>
          <w:szCs w:val="24"/>
        </w:rPr>
        <w:t>of $928,000. During 2015, the firm earned $377,000 after taxes. From</w:t>
      </w:r>
      <w:r>
        <w:rPr>
          <w:rFonts w:ascii="SabonLTStd-Roman" w:hAnsi="SabonLTStd-Roman" w:cs="SabonLTStd-Roman"/>
          <w:sz w:val="24"/>
          <w:szCs w:val="24"/>
        </w:rPr>
        <w:t xml:space="preserve"> </w:t>
      </w:r>
      <w:r w:rsidRPr="006766D5">
        <w:rPr>
          <w:rFonts w:ascii="SabonLTStd-Roman" w:hAnsi="SabonLTStd-Roman" w:cs="SabonLTStd-Roman"/>
          <w:sz w:val="24"/>
          <w:szCs w:val="24"/>
        </w:rPr>
        <w:t>this amount, preferred</w:t>
      </w:r>
      <w:r>
        <w:rPr>
          <w:rFonts w:ascii="SabonLTStd-Roman" w:hAnsi="SabonLTStd-Roman" w:cs="SabonLTStd-Roman"/>
          <w:sz w:val="24"/>
          <w:szCs w:val="24"/>
        </w:rPr>
        <w:t xml:space="preserve"> </w:t>
      </w:r>
      <w:r w:rsidRPr="006766D5">
        <w:rPr>
          <w:rFonts w:ascii="SabonLTStd-Roman" w:hAnsi="SabonLTStd-Roman" w:cs="SabonLTStd-Roman"/>
          <w:sz w:val="24"/>
          <w:szCs w:val="24"/>
        </w:rPr>
        <w:t>stockholders were paid $47,000 in dividends. At year-end</w:t>
      </w:r>
      <w:r>
        <w:rPr>
          <w:rFonts w:ascii="SabonLTStd-Roman" w:hAnsi="SabonLTStd-Roman" w:cs="SabonLTStd-Roman"/>
          <w:sz w:val="24"/>
          <w:szCs w:val="24"/>
        </w:rPr>
        <w:t xml:space="preserve"> </w:t>
      </w:r>
      <w:r w:rsidRPr="006766D5">
        <w:rPr>
          <w:rFonts w:ascii="SabonLTStd-Roman" w:hAnsi="SabonLTStd-Roman" w:cs="SabonLTStd-Roman"/>
          <w:sz w:val="24"/>
          <w:szCs w:val="24"/>
        </w:rPr>
        <w:t>2015, the firm’s retained earnings</w:t>
      </w:r>
      <w:r>
        <w:rPr>
          <w:rFonts w:ascii="SabonLTStd-Roman" w:hAnsi="SabonLTStd-Roman" w:cs="SabonLTStd-Roman"/>
          <w:sz w:val="24"/>
          <w:szCs w:val="24"/>
        </w:rPr>
        <w:t xml:space="preserve"> </w:t>
      </w:r>
      <w:r w:rsidRPr="006766D5">
        <w:rPr>
          <w:rFonts w:ascii="SabonLTStd-Roman" w:hAnsi="SabonLTStd-Roman" w:cs="SabonLTStd-Roman"/>
          <w:sz w:val="24"/>
          <w:szCs w:val="24"/>
        </w:rPr>
        <w:t>totaled $1,048,000. The firm had 140,000 shares</w:t>
      </w:r>
      <w:r>
        <w:rPr>
          <w:rFonts w:ascii="SabonLTStd-Roman" w:hAnsi="SabonLTStd-Roman" w:cs="SabonLTStd-Roman"/>
          <w:sz w:val="24"/>
          <w:szCs w:val="24"/>
        </w:rPr>
        <w:t xml:space="preserve"> </w:t>
      </w:r>
      <w:r w:rsidRPr="006766D5">
        <w:rPr>
          <w:rFonts w:ascii="SabonLTStd-Roman" w:hAnsi="SabonLTStd-Roman" w:cs="SabonLTStd-Roman"/>
          <w:sz w:val="24"/>
          <w:szCs w:val="24"/>
        </w:rPr>
        <w:t>of common stock outstanding during 2015.</w:t>
      </w:r>
    </w:p>
    <w:p w14:paraId="1711CDC9" w14:textId="77777777" w:rsidR="006766D5" w:rsidRDefault="006766D5" w:rsidP="006766D5">
      <w:pPr>
        <w:autoSpaceDE w:val="0"/>
        <w:autoSpaceDN w:val="0"/>
        <w:adjustRightInd w:val="0"/>
        <w:spacing w:after="0" w:line="240" w:lineRule="auto"/>
        <w:rPr>
          <w:rFonts w:ascii="SabonLTStd-Bold" w:hAnsi="SabonLTStd-Bold" w:cs="SabonLTStd-Bold"/>
          <w:b/>
          <w:bCs/>
          <w:sz w:val="24"/>
          <w:szCs w:val="24"/>
        </w:rPr>
      </w:pPr>
    </w:p>
    <w:p w14:paraId="68B79918" w14:textId="79D2624B"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a. </w:t>
      </w:r>
      <w:r w:rsidRPr="006766D5">
        <w:rPr>
          <w:rFonts w:ascii="SabonLTStd-Roman" w:hAnsi="SabonLTStd-Roman" w:cs="SabonLTStd-Roman"/>
          <w:sz w:val="24"/>
          <w:szCs w:val="24"/>
        </w:rPr>
        <w:t>Prepare a statement of retained earnings for the year ended December 31, 2015,</w:t>
      </w:r>
    </w:p>
    <w:p w14:paraId="66792FA4" w14:textId="77777777"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Roman" w:hAnsi="SabonLTStd-Roman" w:cs="SabonLTStd-Roman"/>
          <w:sz w:val="24"/>
          <w:szCs w:val="24"/>
        </w:rPr>
        <w:t>for Hayes Enterprises. (</w:t>
      </w:r>
      <w:r w:rsidRPr="006766D5">
        <w:rPr>
          <w:rFonts w:ascii="SabonLTStd-Italic" w:hAnsi="SabonLTStd-Italic" w:cs="SabonLTStd-Italic"/>
          <w:i/>
          <w:iCs/>
          <w:sz w:val="24"/>
          <w:szCs w:val="24"/>
        </w:rPr>
        <w:t xml:space="preserve">Note: </w:t>
      </w:r>
      <w:r w:rsidRPr="006766D5">
        <w:rPr>
          <w:rFonts w:ascii="SabonLTStd-Roman" w:hAnsi="SabonLTStd-Roman" w:cs="SabonLTStd-Roman"/>
          <w:sz w:val="24"/>
          <w:szCs w:val="24"/>
        </w:rPr>
        <w:t>Be sure to calculate and include the amount of cash</w:t>
      </w:r>
    </w:p>
    <w:p w14:paraId="5225A56E" w14:textId="77777777"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Roman" w:hAnsi="SabonLTStd-Roman" w:cs="SabonLTStd-Roman"/>
          <w:sz w:val="24"/>
          <w:szCs w:val="24"/>
        </w:rPr>
        <w:t>dividends paid in 2015.)</w:t>
      </w:r>
    </w:p>
    <w:p w14:paraId="0B3E0104" w14:textId="77777777" w:rsidR="006766D5" w:rsidRDefault="006766D5" w:rsidP="006766D5">
      <w:pPr>
        <w:autoSpaceDE w:val="0"/>
        <w:autoSpaceDN w:val="0"/>
        <w:adjustRightInd w:val="0"/>
        <w:spacing w:after="0" w:line="240" w:lineRule="auto"/>
        <w:rPr>
          <w:rFonts w:ascii="SabonLTStd-Bold" w:hAnsi="SabonLTStd-Bold" w:cs="SabonLTStd-Bold"/>
          <w:b/>
          <w:bCs/>
          <w:sz w:val="24"/>
          <w:szCs w:val="24"/>
        </w:rPr>
      </w:pPr>
    </w:p>
    <w:p w14:paraId="09485AA9" w14:textId="21105949"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b. </w:t>
      </w:r>
      <w:r w:rsidRPr="006766D5">
        <w:rPr>
          <w:rFonts w:ascii="SabonLTStd-Roman" w:hAnsi="SabonLTStd-Roman" w:cs="SabonLTStd-Roman"/>
          <w:sz w:val="24"/>
          <w:szCs w:val="24"/>
        </w:rPr>
        <w:t>Calculate the firm’s 2015 earnings per share (EPS).</w:t>
      </w:r>
    </w:p>
    <w:p w14:paraId="43009264" w14:textId="77777777" w:rsidR="006766D5" w:rsidRDefault="006766D5" w:rsidP="006766D5">
      <w:pPr>
        <w:autoSpaceDE w:val="0"/>
        <w:autoSpaceDN w:val="0"/>
        <w:adjustRightInd w:val="0"/>
        <w:spacing w:after="0" w:line="240" w:lineRule="auto"/>
        <w:rPr>
          <w:rFonts w:ascii="SabonLTStd-Bold" w:hAnsi="SabonLTStd-Bold" w:cs="SabonLTStd-Bold"/>
          <w:b/>
          <w:bCs/>
          <w:sz w:val="24"/>
          <w:szCs w:val="24"/>
        </w:rPr>
      </w:pPr>
    </w:p>
    <w:p w14:paraId="37CAB5E0" w14:textId="64B9B278" w:rsidR="006766D5" w:rsidRP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c. </w:t>
      </w:r>
      <w:r w:rsidRPr="006766D5">
        <w:rPr>
          <w:rFonts w:ascii="SabonLTStd-Roman" w:hAnsi="SabonLTStd-Roman" w:cs="SabonLTStd-Roman"/>
          <w:sz w:val="24"/>
          <w:szCs w:val="24"/>
        </w:rPr>
        <w:t>How large a per-share cash dividend did the firm pay on common stock during</w:t>
      </w:r>
    </w:p>
    <w:p w14:paraId="0315423F" w14:textId="07A6B412" w:rsidR="006766D5" w:rsidRDefault="006766D5" w:rsidP="006766D5">
      <w:pPr>
        <w:rPr>
          <w:rFonts w:ascii="SabonLTStd-Roman" w:hAnsi="SabonLTStd-Roman" w:cs="SabonLTStd-Roman"/>
          <w:sz w:val="24"/>
          <w:szCs w:val="24"/>
        </w:rPr>
      </w:pPr>
      <w:r w:rsidRPr="006766D5">
        <w:rPr>
          <w:rFonts w:ascii="SabonLTStd-Roman" w:hAnsi="SabonLTStd-Roman" w:cs="SabonLTStd-Roman"/>
          <w:sz w:val="24"/>
          <w:szCs w:val="24"/>
        </w:rPr>
        <w:t>2015?</w:t>
      </w:r>
    </w:p>
    <w:p w14:paraId="2156D9AD" w14:textId="1BE99219" w:rsidR="006766D5" w:rsidRDefault="006766D5" w:rsidP="006766D5">
      <w:pPr>
        <w:rPr>
          <w:sz w:val="24"/>
          <w:szCs w:val="24"/>
        </w:rPr>
      </w:pPr>
    </w:p>
    <w:p w14:paraId="2D4BC80F" w14:textId="1174E2EC" w:rsidR="006766D5" w:rsidRDefault="006766D5" w:rsidP="006766D5">
      <w:pPr>
        <w:shd w:val="clear" w:color="auto" w:fill="FFFFFF"/>
        <w:spacing w:before="100" w:beforeAutospacing="1" w:after="100" w:afterAutospacing="1"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t>P3-16</w:t>
      </w:r>
    </w:p>
    <w:p w14:paraId="4C3228AA" w14:textId="6AD6CFC3" w:rsidR="006766D5" w:rsidRDefault="006766D5" w:rsidP="006766D5">
      <w:pPr>
        <w:shd w:val="clear" w:color="auto" w:fill="FFFFFF"/>
        <w:spacing w:before="100" w:beforeAutospacing="1" w:after="100" w:afterAutospacing="1" w:line="240" w:lineRule="auto"/>
        <w:rPr>
          <w:rFonts w:ascii="Trebuchet MS" w:eastAsia="Times New Roman" w:hAnsi="Trebuchet MS" w:cs="Times New Roman"/>
          <w:sz w:val="24"/>
          <w:szCs w:val="24"/>
        </w:rPr>
      </w:pPr>
      <w:r w:rsidRPr="006766D5">
        <w:rPr>
          <w:rFonts w:ascii="Trebuchet MS" w:eastAsia="Times New Roman" w:hAnsi="Trebuchet MS" w:cs="Times New Roman"/>
          <w:sz w:val="24"/>
          <w:szCs w:val="24"/>
        </w:rPr>
        <w:t xml:space="preserve">Accounts receivable management </w:t>
      </w:r>
      <w:proofErr w:type="gramStart"/>
      <w:r w:rsidRPr="006766D5">
        <w:rPr>
          <w:rFonts w:ascii="Trebuchet MS" w:eastAsia="Times New Roman" w:hAnsi="Trebuchet MS" w:cs="Times New Roman"/>
          <w:sz w:val="24"/>
          <w:szCs w:val="24"/>
        </w:rPr>
        <w:t>An</w:t>
      </w:r>
      <w:proofErr w:type="gramEnd"/>
      <w:r w:rsidRPr="006766D5">
        <w:rPr>
          <w:rFonts w:ascii="Trebuchet MS" w:eastAsia="Times New Roman" w:hAnsi="Trebuchet MS" w:cs="Times New Roman"/>
          <w:sz w:val="24"/>
          <w:szCs w:val="24"/>
        </w:rPr>
        <w:t xml:space="preserve"> evaluation of the books of Blair Supply, which follows, gives the end-of-year accounts receivable balance, which is believed to consist of amounts originating in the months indicated. The company had annual sales of $2.4 million. The firm extends 30-day credit terms.</w:t>
      </w:r>
    </w:p>
    <w:p w14:paraId="4DED502B" w14:textId="62E8810D" w:rsidR="006766D5" w:rsidRPr="00E66F90" w:rsidRDefault="006766D5" w:rsidP="006766D5">
      <w:pPr>
        <w:shd w:val="clear" w:color="auto" w:fill="FFFFFF"/>
        <w:spacing w:before="100" w:beforeAutospacing="1" w:after="100" w:afterAutospacing="1" w:line="240" w:lineRule="auto"/>
        <w:rPr>
          <w:rFonts w:ascii="Trebuchet MS" w:eastAsia="Times New Roman" w:hAnsi="Trebuchet MS" w:cs="Times New Roman"/>
          <w:sz w:val="24"/>
          <w:szCs w:val="24"/>
        </w:rPr>
      </w:pPr>
      <w:r>
        <w:rPr>
          <w:rFonts w:ascii="Trebuchet MS" w:eastAsia="Times New Roman" w:hAnsi="Trebuchet MS" w:cs="Times New Roman"/>
          <w:noProof/>
          <w:sz w:val="24"/>
          <w:szCs w:val="24"/>
        </w:rPr>
        <w:lastRenderedPageBreak/>
        <w:drawing>
          <wp:inline distT="0" distB="0" distL="0" distR="0" wp14:anchorId="0CABCE48" wp14:editId="6A02AD5C">
            <wp:extent cx="2819794" cy="15146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3-16.PNG"/>
                    <pic:cNvPicPr/>
                  </pic:nvPicPr>
                  <pic:blipFill>
                    <a:blip r:embed="rId6">
                      <a:extLst>
                        <a:ext uri="{28A0092B-C50C-407E-A947-70E740481C1C}">
                          <a14:useLocalDpi xmlns:a14="http://schemas.microsoft.com/office/drawing/2010/main" val="0"/>
                        </a:ext>
                      </a:extLst>
                    </a:blip>
                    <a:stretch>
                      <a:fillRect/>
                    </a:stretch>
                  </pic:blipFill>
                  <pic:spPr>
                    <a:xfrm>
                      <a:off x="0" y="0"/>
                      <a:ext cx="2819794" cy="1514686"/>
                    </a:xfrm>
                    <a:prstGeom prst="rect">
                      <a:avLst/>
                    </a:prstGeom>
                  </pic:spPr>
                </pic:pic>
              </a:graphicData>
            </a:graphic>
          </wp:inline>
        </w:drawing>
      </w:r>
    </w:p>
    <w:p w14:paraId="4FE362FE" w14:textId="77777777" w:rsidR="006766D5" w:rsidRDefault="006766D5" w:rsidP="006766D5">
      <w:pPr>
        <w:autoSpaceDE w:val="0"/>
        <w:autoSpaceDN w:val="0"/>
        <w:adjustRightInd w:val="0"/>
        <w:spacing w:after="0" w:line="240" w:lineRule="auto"/>
        <w:rPr>
          <w:rFonts w:ascii="SabonLTStd-Roman" w:hAnsi="SabonLTStd-Roman" w:cs="SabonLTStd-Roman"/>
          <w:sz w:val="19"/>
          <w:szCs w:val="19"/>
        </w:rPr>
      </w:pPr>
      <w:r>
        <w:rPr>
          <w:rFonts w:ascii="SabonLTStd-Bold" w:hAnsi="SabonLTStd-Bold" w:cs="SabonLTStd-Bold"/>
          <w:b/>
          <w:bCs/>
          <w:sz w:val="19"/>
          <w:szCs w:val="19"/>
        </w:rPr>
        <w:t xml:space="preserve">a. </w:t>
      </w:r>
      <w:r>
        <w:rPr>
          <w:rFonts w:ascii="SabonLTStd-Roman" w:hAnsi="SabonLTStd-Roman" w:cs="SabonLTStd-Roman"/>
          <w:sz w:val="19"/>
          <w:szCs w:val="19"/>
        </w:rPr>
        <w:t>Use the year-end total to evaluate the firm’s collection system.</w:t>
      </w:r>
    </w:p>
    <w:p w14:paraId="26C7E3E9" w14:textId="77777777" w:rsidR="006766D5" w:rsidRDefault="006766D5" w:rsidP="006766D5">
      <w:pPr>
        <w:autoSpaceDE w:val="0"/>
        <w:autoSpaceDN w:val="0"/>
        <w:adjustRightInd w:val="0"/>
        <w:spacing w:after="0" w:line="240" w:lineRule="auto"/>
        <w:rPr>
          <w:rFonts w:ascii="SabonLTStd-Bold" w:hAnsi="SabonLTStd-Bold" w:cs="SabonLTStd-Bold"/>
          <w:b/>
          <w:bCs/>
          <w:sz w:val="19"/>
          <w:szCs w:val="19"/>
        </w:rPr>
      </w:pPr>
    </w:p>
    <w:p w14:paraId="6159828A" w14:textId="728300F0" w:rsidR="006766D5" w:rsidRDefault="006766D5" w:rsidP="006766D5">
      <w:pPr>
        <w:autoSpaceDE w:val="0"/>
        <w:autoSpaceDN w:val="0"/>
        <w:adjustRightInd w:val="0"/>
        <w:spacing w:after="0" w:line="240" w:lineRule="auto"/>
        <w:rPr>
          <w:rFonts w:ascii="SabonLTStd-Roman" w:hAnsi="SabonLTStd-Roman" w:cs="SabonLTStd-Roman"/>
          <w:sz w:val="19"/>
          <w:szCs w:val="19"/>
        </w:rPr>
      </w:pPr>
      <w:r>
        <w:rPr>
          <w:rFonts w:ascii="SabonLTStd-Bold" w:hAnsi="SabonLTStd-Bold" w:cs="SabonLTStd-Bold"/>
          <w:b/>
          <w:bCs/>
          <w:sz w:val="19"/>
          <w:szCs w:val="19"/>
        </w:rPr>
        <w:t xml:space="preserve">b. </w:t>
      </w:r>
      <w:r>
        <w:rPr>
          <w:rFonts w:ascii="SabonLTStd-Roman" w:hAnsi="SabonLTStd-Roman" w:cs="SabonLTStd-Roman"/>
          <w:sz w:val="19"/>
          <w:szCs w:val="19"/>
        </w:rPr>
        <w:t>If 70% of the firm’s sales occur between July and December, would this information</w:t>
      </w:r>
    </w:p>
    <w:p w14:paraId="6A969129" w14:textId="7D8C25B9" w:rsidR="006766D5" w:rsidRDefault="006766D5" w:rsidP="006766D5">
      <w:pPr>
        <w:rPr>
          <w:rFonts w:ascii="SabonLTStd-Roman" w:hAnsi="SabonLTStd-Roman" w:cs="SabonLTStd-Roman"/>
          <w:sz w:val="19"/>
          <w:szCs w:val="19"/>
        </w:rPr>
      </w:pPr>
      <w:r>
        <w:rPr>
          <w:rFonts w:ascii="SabonLTStd-Roman" w:hAnsi="SabonLTStd-Roman" w:cs="SabonLTStd-Roman"/>
          <w:sz w:val="19"/>
          <w:szCs w:val="19"/>
        </w:rPr>
        <w:t xml:space="preserve">affect the validity of your conclusion in part </w:t>
      </w:r>
      <w:r>
        <w:rPr>
          <w:rFonts w:ascii="SabonLTStd-Bold" w:hAnsi="SabonLTStd-Bold" w:cs="SabonLTStd-Bold"/>
          <w:b/>
          <w:bCs/>
          <w:sz w:val="19"/>
          <w:szCs w:val="19"/>
        </w:rPr>
        <w:t>a</w:t>
      </w:r>
      <w:r>
        <w:rPr>
          <w:rFonts w:ascii="SabonLTStd-Roman" w:hAnsi="SabonLTStd-Roman" w:cs="SabonLTStd-Roman"/>
          <w:sz w:val="19"/>
          <w:szCs w:val="19"/>
        </w:rPr>
        <w:t>? Explain.</w:t>
      </w:r>
    </w:p>
    <w:p w14:paraId="049017AE" w14:textId="26E9303A" w:rsidR="006766D5" w:rsidRDefault="006766D5" w:rsidP="006766D5">
      <w:pPr>
        <w:rPr>
          <w:sz w:val="24"/>
          <w:szCs w:val="24"/>
        </w:rPr>
      </w:pPr>
    </w:p>
    <w:p w14:paraId="246B2EDA" w14:textId="77777777" w:rsidR="006766D5" w:rsidRPr="00E66F90" w:rsidRDefault="006766D5" w:rsidP="006766D5">
      <w:pPr>
        <w:shd w:val="clear" w:color="auto" w:fill="FFFFFF"/>
        <w:spacing w:before="100" w:beforeAutospacing="1" w:after="100" w:afterAutospacing="1"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t>P3-18</w:t>
      </w:r>
    </w:p>
    <w:p w14:paraId="5AEBD585" w14:textId="3247A2B2" w:rsidR="006766D5" w:rsidRDefault="006766D5" w:rsidP="006766D5">
      <w:pPr>
        <w:autoSpaceDE w:val="0"/>
        <w:autoSpaceDN w:val="0"/>
        <w:adjustRightInd w:val="0"/>
        <w:spacing w:after="0" w:line="240" w:lineRule="auto"/>
        <w:rPr>
          <w:rFonts w:ascii="SabonLTStd-Roman" w:hAnsi="SabonLTStd-Roman" w:cs="SabonLTStd-Roman"/>
          <w:sz w:val="24"/>
          <w:szCs w:val="24"/>
        </w:rPr>
      </w:pPr>
      <w:r w:rsidRPr="006766D5">
        <w:rPr>
          <w:rFonts w:ascii="SabonLTStd-Bold" w:hAnsi="SabonLTStd-Bold" w:cs="SabonLTStd-Bold"/>
          <w:b/>
          <w:bCs/>
          <w:sz w:val="24"/>
          <w:szCs w:val="24"/>
        </w:rPr>
        <w:t xml:space="preserve">Debt analysis </w:t>
      </w:r>
      <w:r w:rsidRPr="006766D5">
        <w:rPr>
          <w:rFonts w:ascii="SabonLTStd-Roman" w:hAnsi="SabonLTStd-Roman" w:cs="SabonLTStd-Roman"/>
          <w:sz w:val="24"/>
          <w:szCs w:val="24"/>
        </w:rPr>
        <w:t>Springfield Bank is evaluating Creek Enterprises, which has requested</w:t>
      </w:r>
      <w:r w:rsidRPr="006766D5">
        <w:rPr>
          <w:rFonts w:ascii="SabonLTStd-Roman" w:hAnsi="SabonLTStd-Roman" w:cs="SabonLTStd-Roman"/>
          <w:sz w:val="24"/>
          <w:szCs w:val="24"/>
        </w:rPr>
        <w:t xml:space="preserve"> </w:t>
      </w:r>
      <w:r w:rsidRPr="006766D5">
        <w:rPr>
          <w:rFonts w:ascii="SabonLTStd-Roman" w:hAnsi="SabonLTStd-Roman" w:cs="SabonLTStd-Roman"/>
          <w:sz w:val="24"/>
          <w:szCs w:val="24"/>
        </w:rPr>
        <w:t xml:space="preserve">a $4,000,000 loan, to assess the firm’s financial leverage and financial risk. </w:t>
      </w:r>
      <w:proofErr w:type="gramStart"/>
      <w:r w:rsidRPr="006766D5">
        <w:rPr>
          <w:rFonts w:ascii="SabonLTStd-Roman" w:hAnsi="SabonLTStd-Roman" w:cs="SabonLTStd-Roman"/>
          <w:sz w:val="24"/>
          <w:szCs w:val="24"/>
        </w:rPr>
        <w:t>On the</w:t>
      </w:r>
      <w:r w:rsidRPr="006766D5">
        <w:rPr>
          <w:rFonts w:ascii="SabonLTStd-Roman" w:hAnsi="SabonLTStd-Roman" w:cs="SabonLTStd-Roman"/>
          <w:sz w:val="24"/>
          <w:szCs w:val="24"/>
        </w:rPr>
        <w:t xml:space="preserve"> </w:t>
      </w:r>
      <w:r w:rsidRPr="006766D5">
        <w:rPr>
          <w:rFonts w:ascii="SabonLTStd-Roman" w:hAnsi="SabonLTStd-Roman" w:cs="SabonLTStd-Roman"/>
          <w:sz w:val="24"/>
          <w:szCs w:val="24"/>
        </w:rPr>
        <w:t>basis of</w:t>
      </w:r>
      <w:proofErr w:type="gramEnd"/>
      <w:r w:rsidRPr="006766D5">
        <w:rPr>
          <w:rFonts w:ascii="SabonLTStd-Roman" w:hAnsi="SabonLTStd-Roman" w:cs="SabonLTStd-Roman"/>
          <w:sz w:val="24"/>
          <w:szCs w:val="24"/>
        </w:rPr>
        <w:t xml:space="preserve"> the debt ratios for Creek, along with the industry averages (see the top of</w:t>
      </w:r>
      <w:r w:rsidRPr="006766D5">
        <w:rPr>
          <w:rFonts w:ascii="SabonLTStd-Roman" w:hAnsi="SabonLTStd-Roman" w:cs="SabonLTStd-Roman"/>
          <w:sz w:val="24"/>
          <w:szCs w:val="24"/>
        </w:rPr>
        <w:t xml:space="preserve"> </w:t>
      </w:r>
      <w:r w:rsidRPr="006766D5">
        <w:rPr>
          <w:rFonts w:ascii="SabonLTStd-Roman" w:hAnsi="SabonLTStd-Roman" w:cs="SabonLTStd-Roman"/>
          <w:sz w:val="24"/>
          <w:szCs w:val="24"/>
        </w:rPr>
        <w:t>the next page) and Creek’s recent financial statements (following), evaluate and</w:t>
      </w:r>
      <w:r w:rsidRPr="006766D5">
        <w:rPr>
          <w:rFonts w:ascii="SabonLTStd-Roman" w:hAnsi="SabonLTStd-Roman" w:cs="SabonLTStd-Roman"/>
          <w:sz w:val="24"/>
          <w:szCs w:val="24"/>
        </w:rPr>
        <w:t xml:space="preserve"> </w:t>
      </w:r>
      <w:r w:rsidRPr="006766D5">
        <w:rPr>
          <w:rFonts w:ascii="SabonLTStd-Roman" w:hAnsi="SabonLTStd-Roman" w:cs="SabonLTStd-Roman"/>
          <w:sz w:val="24"/>
          <w:szCs w:val="24"/>
        </w:rPr>
        <w:t>recommend appropriate action on the loan request.</w:t>
      </w:r>
    </w:p>
    <w:p w14:paraId="013945D5" w14:textId="0D38B494" w:rsidR="006766D5" w:rsidRDefault="006766D5" w:rsidP="006766D5">
      <w:pPr>
        <w:autoSpaceDE w:val="0"/>
        <w:autoSpaceDN w:val="0"/>
        <w:adjustRightInd w:val="0"/>
        <w:spacing w:after="0" w:line="240" w:lineRule="auto"/>
        <w:rPr>
          <w:rFonts w:ascii="SabonLTStd-Roman" w:hAnsi="SabonLTStd-Roman" w:cs="SabonLTStd-Roman"/>
          <w:sz w:val="24"/>
          <w:szCs w:val="24"/>
        </w:rPr>
      </w:pPr>
    </w:p>
    <w:p w14:paraId="53744E15" w14:textId="62CFC8AC" w:rsidR="006766D5" w:rsidRDefault="006766D5" w:rsidP="006766D5">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drawing>
          <wp:inline distT="0" distB="0" distL="0" distR="0" wp14:anchorId="6C090C04" wp14:editId="4D376FFB">
            <wp:extent cx="3829584" cy="3096057"/>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3-18.PNG"/>
                    <pic:cNvPicPr/>
                  </pic:nvPicPr>
                  <pic:blipFill>
                    <a:blip r:embed="rId7">
                      <a:extLst>
                        <a:ext uri="{28A0092B-C50C-407E-A947-70E740481C1C}">
                          <a14:useLocalDpi xmlns:a14="http://schemas.microsoft.com/office/drawing/2010/main" val="0"/>
                        </a:ext>
                      </a:extLst>
                    </a:blip>
                    <a:stretch>
                      <a:fillRect/>
                    </a:stretch>
                  </pic:blipFill>
                  <pic:spPr>
                    <a:xfrm>
                      <a:off x="0" y="0"/>
                      <a:ext cx="3829584" cy="3096057"/>
                    </a:xfrm>
                    <a:prstGeom prst="rect">
                      <a:avLst/>
                    </a:prstGeom>
                  </pic:spPr>
                </pic:pic>
              </a:graphicData>
            </a:graphic>
          </wp:inline>
        </w:drawing>
      </w:r>
    </w:p>
    <w:p w14:paraId="58525C2E" w14:textId="2EF9B03F" w:rsidR="006766D5" w:rsidRDefault="006766D5" w:rsidP="006766D5">
      <w:pPr>
        <w:autoSpaceDE w:val="0"/>
        <w:autoSpaceDN w:val="0"/>
        <w:adjustRightInd w:val="0"/>
        <w:spacing w:after="0" w:line="240" w:lineRule="auto"/>
        <w:rPr>
          <w:rFonts w:ascii="SabonLTStd-Roman" w:hAnsi="SabonLTStd-Roman" w:cs="SabonLTStd-Roman"/>
          <w:sz w:val="24"/>
          <w:szCs w:val="24"/>
        </w:rPr>
      </w:pPr>
    </w:p>
    <w:p w14:paraId="3BEB200D" w14:textId="09E528F1" w:rsidR="006766D5" w:rsidRDefault="006766D5" w:rsidP="006766D5">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lastRenderedPageBreak/>
        <w:drawing>
          <wp:inline distT="0" distB="0" distL="0" distR="0" wp14:anchorId="50D5290C" wp14:editId="208EEC0B">
            <wp:extent cx="5943600" cy="31984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3-18(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198495"/>
                    </a:xfrm>
                    <a:prstGeom prst="rect">
                      <a:avLst/>
                    </a:prstGeom>
                  </pic:spPr>
                </pic:pic>
              </a:graphicData>
            </a:graphic>
          </wp:inline>
        </w:drawing>
      </w:r>
    </w:p>
    <w:p w14:paraId="37606949" w14:textId="04855D90" w:rsidR="006766D5" w:rsidRDefault="006766D5" w:rsidP="006766D5">
      <w:pPr>
        <w:autoSpaceDE w:val="0"/>
        <w:autoSpaceDN w:val="0"/>
        <w:adjustRightInd w:val="0"/>
        <w:spacing w:after="0" w:line="240" w:lineRule="auto"/>
        <w:rPr>
          <w:rFonts w:ascii="SabonLTStd-Roman" w:hAnsi="SabonLTStd-Roman" w:cs="SabonLTStd-Roman"/>
          <w:sz w:val="24"/>
          <w:szCs w:val="24"/>
        </w:rPr>
      </w:pPr>
    </w:p>
    <w:p w14:paraId="0B631B0F" w14:textId="7411B556" w:rsidR="006766D5" w:rsidRDefault="006766D5" w:rsidP="006766D5">
      <w:pPr>
        <w:autoSpaceDE w:val="0"/>
        <w:autoSpaceDN w:val="0"/>
        <w:adjustRightInd w:val="0"/>
        <w:spacing w:after="0" w:line="240" w:lineRule="auto"/>
        <w:rPr>
          <w:rFonts w:ascii="SabonLTStd-Roman" w:hAnsi="SabonLTStd-Roman" w:cs="SabonLTStd-Roman"/>
          <w:sz w:val="24"/>
          <w:szCs w:val="24"/>
        </w:rPr>
      </w:pPr>
    </w:p>
    <w:p w14:paraId="6666887F" w14:textId="688C673C" w:rsidR="006766D5" w:rsidRDefault="006766D5" w:rsidP="006766D5">
      <w:pPr>
        <w:autoSpaceDE w:val="0"/>
        <w:autoSpaceDN w:val="0"/>
        <w:adjustRightInd w:val="0"/>
        <w:spacing w:after="0" w:line="240" w:lineRule="auto"/>
        <w:rPr>
          <w:rFonts w:ascii="Trebuchet MS" w:hAnsi="Trebuchet MS" w:cs="SabonLTStd-Roman"/>
          <w:sz w:val="32"/>
          <w:szCs w:val="32"/>
        </w:rPr>
      </w:pPr>
      <w:r w:rsidRPr="006766D5">
        <w:rPr>
          <w:rFonts w:ascii="Trebuchet MS" w:hAnsi="Trebuchet MS" w:cs="SabonLTStd-Roman"/>
          <w:sz w:val="32"/>
          <w:szCs w:val="32"/>
          <w:highlight w:val="green"/>
        </w:rPr>
        <w:t>P3–20</w:t>
      </w:r>
    </w:p>
    <w:p w14:paraId="6D6155BD" w14:textId="4A2337E9" w:rsidR="006766D5" w:rsidRDefault="006766D5" w:rsidP="006766D5">
      <w:pPr>
        <w:autoSpaceDE w:val="0"/>
        <w:autoSpaceDN w:val="0"/>
        <w:adjustRightInd w:val="0"/>
        <w:spacing w:after="0" w:line="240" w:lineRule="auto"/>
        <w:rPr>
          <w:rFonts w:ascii="Trebuchet MS" w:hAnsi="Trebuchet MS" w:cs="SabonLTStd-Roman"/>
          <w:sz w:val="32"/>
          <w:szCs w:val="32"/>
        </w:rPr>
      </w:pPr>
    </w:p>
    <w:p w14:paraId="4424B00C" w14:textId="7B6E006A" w:rsidR="006766D5" w:rsidRDefault="006766D5" w:rsidP="006766D5">
      <w:pPr>
        <w:autoSpaceDE w:val="0"/>
        <w:autoSpaceDN w:val="0"/>
        <w:adjustRightInd w:val="0"/>
        <w:spacing w:after="0" w:line="240" w:lineRule="auto"/>
        <w:rPr>
          <w:rFonts w:ascii="Trebuchet MS" w:hAnsi="Trebuchet MS" w:cs="SabonLTStd-Roman"/>
          <w:sz w:val="24"/>
          <w:szCs w:val="24"/>
        </w:rPr>
      </w:pPr>
      <w:r w:rsidRPr="006766D5">
        <w:rPr>
          <w:rFonts w:ascii="Trebuchet MS" w:hAnsi="Trebuchet MS" w:cs="SabonLTStd-Roman"/>
          <w:sz w:val="24"/>
          <w:szCs w:val="24"/>
        </w:rPr>
        <w:t>Common-size statement analysis A common-size income statement for Creek Enterprises’ 2014 operations follows. Using the firm’s 2015 income statement presented in Problem 3–18, develop the 2015 common-size income statement and compare it with the 2014 statement. Which areas require further analysis and investigation?</w:t>
      </w:r>
    </w:p>
    <w:p w14:paraId="58569D15" w14:textId="0DD50F37" w:rsidR="006766D5" w:rsidRDefault="006766D5" w:rsidP="006766D5">
      <w:pPr>
        <w:autoSpaceDE w:val="0"/>
        <w:autoSpaceDN w:val="0"/>
        <w:adjustRightInd w:val="0"/>
        <w:spacing w:after="0" w:line="240" w:lineRule="auto"/>
        <w:rPr>
          <w:rFonts w:ascii="Trebuchet MS" w:hAnsi="Trebuchet MS" w:cs="SabonLTStd-Roman"/>
          <w:sz w:val="24"/>
          <w:szCs w:val="24"/>
        </w:rPr>
      </w:pPr>
    </w:p>
    <w:p w14:paraId="41B569A0" w14:textId="4F0A4ADF" w:rsidR="006766D5" w:rsidRDefault="006766D5" w:rsidP="006766D5">
      <w:pPr>
        <w:autoSpaceDE w:val="0"/>
        <w:autoSpaceDN w:val="0"/>
        <w:adjustRightInd w:val="0"/>
        <w:spacing w:after="0" w:line="240" w:lineRule="auto"/>
        <w:rPr>
          <w:rFonts w:ascii="Trebuchet MS" w:hAnsi="Trebuchet MS" w:cs="SabonLTStd-Roman"/>
          <w:sz w:val="24"/>
          <w:szCs w:val="24"/>
        </w:rPr>
      </w:pPr>
      <w:r>
        <w:rPr>
          <w:rFonts w:ascii="Trebuchet MS" w:hAnsi="Trebuchet MS" w:cs="SabonLTStd-Roman"/>
          <w:noProof/>
          <w:sz w:val="24"/>
          <w:szCs w:val="24"/>
        </w:rPr>
        <w:drawing>
          <wp:inline distT="0" distB="0" distL="0" distR="0" wp14:anchorId="013437E1" wp14:editId="1189BDCC">
            <wp:extent cx="3134162" cy="3000794"/>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3-20.PNG"/>
                    <pic:cNvPicPr/>
                  </pic:nvPicPr>
                  <pic:blipFill>
                    <a:blip r:embed="rId9">
                      <a:extLst>
                        <a:ext uri="{28A0092B-C50C-407E-A947-70E740481C1C}">
                          <a14:useLocalDpi xmlns:a14="http://schemas.microsoft.com/office/drawing/2010/main" val="0"/>
                        </a:ext>
                      </a:extLst>
                    </a:blip>
                    <a:stretch>
                      <a:fillRect/>
                    </a:stretch>
                  </pic:blipFill>
                  <pic:spPr>
                    <a:xfrm>
                      <a:off x="0" y="0"/>
                      <a:ext cx="3134162" cy="3000794"/>
                    </a:xfrm>
                    <a:prstGeom prst="rect">
                      <a:avLst/>
                    </a:prstGeom>
                  </pic:spPr>
                </pic:pic>
              </a:graphicData>
            </a:graphic>
          </wp:inline>
        </w:drawing>
      </w:r>
    </w:p>
    <w:p w14:paraId="396AEC9B" w14:textId="0CE63039" w:rsidR="00F64DD6" w:rsidRDefault="00F64DD6" w:rsidP="00F64DD6">
      <w:pPr>
        <w:shd w:val="clear" w:color="auto" w:fill="FFFFFF"/>
        <w:spacing w:before="100" w:beforeAutospacing="1" w:after="100" w:afterAutospacing="1" w:line="240" w:lineRule="auto"/>
        <w:rPr>
          <w:rFonts w:ascii="Trebuchet MS" w:eastAsia="Times New Roman" w:hAnsi="Trebuchet MS" w:cs="Times New Roman"/>
          <w:sz w:val="32"/>
          <w:szCs w:val="32"/>
        </w:rPr>
      </w:pPr>
      <w:r w:rsidRPr="00E66F90">
        <w:rPr>
          <w:rFonts w:ascii="Trebuchet MS" w:eastAsia="Times New Roman" w:hAnsi="Trebuchet MS" w:cs="Times New Roman"/>
          <w:sz w:val="32"/>
          <w:szCs w:val="32"/>
          <w:highlight w:val="green"/>
        </w:rPr>
        <w:lastRenderedPageBreak/>
        <w:t>P3-21</w:t>
      </w:r>
    </w:p>
    <w:p w14:paraId="75D4A470" w14:textId="02FF9E7F" w:rsid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Bold" w:hAnsi="SabonLTStd-Bold" w:cs="SabonLTStd-Bold"/>
          <w:b/>
          <w:bCs/>
          <w:sz w:val="24"/>
          <w:szCs w:val="24"/>
        </w:rPr>
        <w:t xml:space="preserve">The relationship between financial leverage and profitability </w:t>
      </w:r>
      <w:r w:rsidRPr="00F64DD6">
        <w:rPr>
          <w:rFonts w:ascii="SabonLTStd-Roman" w:hAnsi="SabonLTStd-Roman" w:cs="SabonLTStd-Roman"/>
          <w:sz w:val="24"/>
          <w:szCs w:val="24"/>
        </w:rPr>
        <w:t>Pelican Paper, Inc.,</w:t>
      </w:r>
      <w:r w:rsidRPr="00F64DD6">
        <w:rPr>
          <w:rFonts w:ascii="SabonLTStd-Roman" w:hAnsi="SabonLTStd-Roman" w:cs="SabonLTStd-Roman"/>
          <w:sz w:val="24"/>
          <w:szCs w:val="24"/>
        </w:rPr>
        <w:t xml:space="preserve"> </w:t>
      </w:r>
      <w:r w:rsidRPr="00F64DD6">
        <w:rPr>
          <w:rFonts w:ascii="SabonLTStd-Roman" w:hAnsi="SabonLTStd-Roman" w:cs="SabonLTStd-Roman"/>
          <w:sz w:val="24"/>
          <w:szCs w:val="24"/>
        </w:rPr>
        <w:t>and Timberland Forest, Inc., are rivals in the manufacture of craft papers. Some financial</w:t>
      </w:r>
      <w:r w:rsidRPr="00F64DD6">
        <w:rPr>
          <w:rFonts w:ascii="SabonLTStd-Roman" w:hAnsi="SabonLTStd-Roman" w:cs="SabonLTStd-Roman"/>
          <w:sz w:val="24"/>
          <w:szCs w:val="24"/>
        </w:rPr>
        <w:t xml:space="preserve"> </w:t>
      </w:r>
      <w:r w:rsidRPr="00F64DD6">
        <w:rPr>
          <w:rFonts w:ascii="SabonLTStd-Roman" w:hAnsi="SabonLTStd-Roman" w:cs="SabonLTStd-Roman"/>
          <w:sz w:val="24"/>
          <w:szCs w:val="24"/>
        </w:rPr>
        <w:t>statement values for each company follow. Use them in a ratio analysis that</w:t>
      </w:r>
      <w:r w:rsidRPr="00F64DD6">
        <w:rPr>
          <w:rFonts w:ascii="SabonLTStd-Roman" w:hAnsi="SabonLTStd-Roman" w:cs="SabonLTStd-Roman"/>
          <w:sz w:val="24"/>
          <w:szCs w:val="24"/>
        </w:rPr>
        <w:t xml:space="preserve"> </w:t>
      </w:r>
      <w:r w:rsidRPr="00F64DD6">
        <w:rPr>
          <w:rFonts w:ascii="SabonLTStd-Roman" w:hAnsi="SabonLTStd-Roman" w:cs="SabonLTStd-Roman"/>
          <w:sz w:val="24"/>
          <w:szCs w:val="24"/>
        </w:rPr>
        <w:t>compares the firms’ financial leverage and profitability.</w:t>
      </w:r>
    </w:p>
    <w:p w14:paraId="237022E3" w14:textId="77777777" w:rsidR="00F64DD6" w:rsidRPr="00E66F90" w:rsidRDefault="00F64DD6" w:rsidP="00F64DD6">
      <w:pPr>
        <w:autoSpaceDE w:val="0"/>
        <w:autoSpaceDN w:val="0"/>
        <w:adjustRightInd w:val="0"/>
        <w:spacing w:after="0" w:line="240" w:lineRule="auto"/>
        <w:rPr>
          <w:rFonts w:ascii="SabonLTStd-Roman" w:hAnsi="SabonLTStd-Roman" w:cs="SabonLTStd-Roman"/>
          <w:sz w:val="24"/>
          <w:szCs w:val="24"/>
        </w:rPr>
      </w:pPr>
    </w:p>
    <w:p w14:paraId="58E73862" w14:textId="1FF73383" w:rsidR="00F64DD6" w:rsidRDefault="00F64DD6" w:rsidP="006766D5">
      <w:pPr>
        <w:autoSpaceDE w:val="0"/>
        <w:autoSpaceDN w:val="0"/>
        <w:adjustRightInd w:val="0"/>
        <w:spacing w:after="0" w:line="240" w:lineRule="auto"/>
        <w:rPr>
          <w:rFonts w:ascii="Trebuchet MS" w:hAnsi="Trebuchet MS" w:cs="SabonLTStd-Roman"/>
          <w:sz w:val="24"/>
          <w:szCs w:val="24"/>
        </w:rPr>
      </w:pPr>
      <w:r>
        <w:rPr>
          <w:rFonts w:ascii="Trebuchet MS" w:hAnsi="Trebuchet MS" w:cs="SabonLTStd-Roman"/>
          <w:noProof/>
          <w:sz w:val="24"/>
          <w:szCs w:val="24"/>
        </w:rPr>
        <w:drawing>
          <wp:inline distT="0" distB="0" distL="0" distR="0" wp14:anchorId="6ED0CFE2" wp14:editId="5985F472">
            <wp:extent cx="4048690" cy="1733792"/>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3-21.PNG"/>
                    <pic:cNvPicPr/>
                  </pic:nvPicPr>
                  <pic:blipFill>
                    <a:blip r:embed="rId10">
                      <a:extLst>
                        <a:ext uri="{28A0092B-C50C-407E-A947-70E740481C1C}">
                          <a14:useLocalDpi xmlns:a14="http://schemas.microsoft.com/office/drawing/2010/main" val="0"/>
                        </a:ext>
                      </a:extLst>
                    </a:blip>
                    <a:stretch>
                      <a:fillRect/>
                    </a:stretch>
                  </pic:blipFill>
                  <pic:spPr>
                    <a:xfrm>
                      <a:off x="0" y="0"/>
                      <a:ext cx="4048690" cy="1733792"/>
                    </a:xfrm>
                    <a:prstGeom prst="rect">
                      <a:avLst/>
                    </a:prstGeom>
                  </pic:spPr>
                </pic:pic>
              </a:graphicData>
            </a:graphic>
          </wp:inline>
        </w:drawing>
      </w:r>
    </w:p>
    <w:p w14:paraId="697FF949" w14:textId="6EECC95A" w:rsidR="00F64DD6" w:rsidRDefault="00F64DD6" w:rsidP="006766D5">
      <w:pPr>
        <w:autoSpaceDE w:val="0"/>
        <w:autoSpaceDN w:val="0"/>
        <w:adjustRightInd w:val="0"/>
        <w:spacing w:after="0" w:line="240" w:lineRule="auto"/>
        <w:rPr>
          <w:rFonts w:ascii="Trebuchet MS" w:hAnsi="Trebuchet MS" w:cs="SabonLTStd-Roman"/>
          <w:sz w:val="24"/>
          <w:szCs w:val="24"/>
        </w:rPr>
      </w:pPr>
    </w:p>
    <w:p w14:paraId="4F32D482"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Bold" w:hAnsi="SabonLTStd-Bold" w:cs="SabonLTStd-Bold"/>
          <w:b/>
          <w:bCs/>
          <w:sz w:val="24"/>
          <w:szCs w:val="24"/>
        </w:rPr>
        <w:t xml:space="preserve">a. </w:t>
      </w:r>
      <w:r w:rsidRPr="00F64DD6">
        <w:rPr>
          <w:rFonts w:ascii="SabonLTStd-Roman" w:hAnsi="SabonLTStd-Roman" w:cs="SabonLTStd-Roman"/>
          <w:sz w:val="24"/>
          <w:szCs w:val="24"/>
        </w:rPr>
        <w:t>Calculate the following debt and coverage ratios for the two companies. Discuss</w:t>
      </w:r>
    </w:p>
    <w:p w14:paraId="6C0F710A"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their financial risk and ability to cover the costs in relation to each other.</w:t>
      </w:r>
    </w:p>
    <w:p w14:paraId="27708977"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1. Debt ratio</w:t>
      </w:r>
    </w:p>
    <w:p w14:paraId="23566563"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2. Times interest earned ratio</w:t>
      </w:r>
    </w:p>
    <w:p w14:paraId="653C4D82" w14:textId="77777777" w:rsidR="00F64DD6" w:rsidRPr="00F64DD6" w:rsidRDefault="00F64DD6" w:rsidP="00F64DD6">
      <w:pPr>
        <w:autoSpaceDE w:val="0"/>
        <w:autoSpaceDN w:val="0"/>
        <w:adjustRightInd w:val="0"/>
        <w:spacing w:after="0" w:line="240" w:lineRule="auto"/>
        <w:rPr>
          <w:rFonts w:ascii="SabonLTStd-Bold" w:hAnsi="SabonLTStd-Bold" w:cs="SabonLTStd-Bold"/>
          <w:b/>
          <w:bCs/>
          <w:sz w:val="24"/>
          <w:szCs w:val="24"/>
        </w:rPr>
      </w:pPr>
    </w:p>
    <w:p w14:paraId="447C418F" w14:textId="30A5D72B"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Bold" w:hAnsi="SabonLTStd-Bold" w:cs="SabonLTStd-Bold"/>
          <w:b/>
          <w:bCs/>
          <w:sz w:val="24"/>
          <w:szCs w:val="24"/>
        </w:rPr>
        <w:t xml:space="preserve">b. </w:t>
      </w:r>
      <w:r w:rsidRPr="00F64DD6">
        <w:rPr>
          <w:rFonts w:ascii="SabonLTStd-Roman" w:hAnsi="SabonLTStd-Roman" w:cs="SabonLTStd-Roman"/>
          <w:sz w:val="24"/>
          <w:szCs w:val="24"/>
        </w:rPr>
        <w:t xml:space="preserve">Calculate the following profitability ratios for the two companies. Discuss </w:t>
      </w:r>
      <w:proofErr w:type="gramStart"/>
      <w:r w:rsidRPr="00F64DD6">
        <w:rPr>
          <w:rFonts w:ascii="SabonLTStd-Roman" w:hAnsi="SabonLTStd-Roman" w:cs="SabonLTStd-Roman"/>
          <w:sz w:val="24"/>
          <w:szCs w:val="24"/>
        </w:rPr>
        <w:t>their</w:t>
      </w:r>
      <w:proofErr w:type="gramEnd"/>
    </w:p>
    <w:p w14:paraId="6DEBE66F"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profitability relative to one another.</w:t>
      </w:r>
    </w:p>
    <w:p w14:paraId="0DF42836"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1. Operating profit margin</w:t>
      </w:r>
    </w:p>
    <w:p w14:paraId="6AB76B11"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2. Net profit margin</w:t>
      </w:r>
    </w:p>
    <w:p w14:paraId="19936802"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3. Return on total assets</w:t>
      </w:r>
    </w:p>
    <w:p w14:paraId="4709DFBB"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4. Return on common equity</w:t>
      </w:r>
    </w:p>
    <w:p w14:paraId="38585FEF" w14:textId="77777777" w:rsidR="00F64DD6" w:rsidRPr="00F64DD6" w:rsidRDefault="00F64DD6" w:rsidP="00F64DD6">
      <w:pPr>
        <w:autoSpaceDE w:val="0"/>
        <w:autoSpaceDN w:val="0"/>
        <w:adjustRightInd w:val="0"/>
        <w:spacing w:after="0" w:line="240" w:lineRule="auto"/>
        <w:rPr>
          <w:rFonts w:ascii="SabonLTStd-Bold" w:hAnsi="SabonLTStd-Bold" w:cs="SabonLTStd-Bold"/>
          <w:b/>
          <w:bCs/>
          <w:sz w:val="24"/>
          <w:szCs w:val="24"/>
        </w:rPr>
      </w:pPr>
    </w:p>
    <w:p w14:paraId="60D8DBF4" w14:textId="5576599B"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Bold" w:hAnsi="SabonLTStd-Bold" w:cs="SabonLTStd-Bold"/>
          <w:b/>
          <w:bCs/>
          <w:sz w:val="24"/>
          <w:szCs w:val="24"/>
        </w:rPr>
        <w:t xml:space="preserve">c. </w:t>
      </w:r>
      <w:r w:rsidRPr="00F64DD6">
        <w:rPr>
          <w:rFonts w:ascii="SabonLTStd-Roman" w:hAnsi="SabonLTStd-Roman" w:cs="SabonLTStd-Roman"/>
          <w:sz w:val="24"/>
          <w:szCs w:val="24"/>
        </w:rPr>
        <w:t>In what way has the larger debt of Timberland Forest made it more profitable</w:t>
      </w:r>
    </w:p>
    <w:p w14:paraId="7A7B035E" w14:textId="77777777" w:rsidR="00F64DD6" w:rsidRPr="00F64DD6" w:rsidRDefault="00F64DD6" w:rsidP="00F64DD6">
      <w:pPr>
        <w:autoSpaceDE w:val="0"/>
        <w:autoSpaceDN w:val="0"/>
        <w:adjustRightInd w:val="0"/>
        <w:spacing w:after="0" w:line="240" w:lineRule="auto"/>
        <w:rPr>
          <w:rFonts w:ascii="SabonLTStd-Roman" w:hAnsi="SabonLTStd-Roman" w:cs="SabonLTStd-Roman"/>
          <w:sz w:val="24"/>
          <w:szCs w:val="24"/>
        </w:rPr>
      </w:pPr>
      <w:r w:rsidRPr="00F64DD6">
        <w:rPr>
          <w:rFonts w:ascii="SabonLTStd-Roman" w:hAnsi="SabonLTStd-Roman" w:cs="SabonLTStd-Roman"/>
          <w:sz w:val="24"/>
          <w:szCs w:val="24"/>
        </w:rPr>
        <w:t xml:space="preserve">than Pelican Paper? What are the risks that Timberland’s investors </w:t>
      </w:r>
      <w:proofErr w:type="gramStart"/>
      <w:r w:rsidRPr="00F64DD6">
        <w:rPr>
          <w:rFonts w:ascii="SabonLTStd-Roman" w:hAnsi="SabonLTStd-Roman" w:cs="SabonLTStd-Roman"/>
          <w:sz w:val="24"/>
          <w:szCs w:val="24"/>
        </w:rPr>
        <w:t>undertake</w:t>
      </w:r>
      <w:proofErr w:type="gramEnd"/>
    </w:p>
    <w:p w14:paraId="0CF5844C" w14:textId="5C3D2448" w:rsidR="00F64DD6" w:rsidRPr="00F64DD6" w:rsidRDefault="00F64DD6" w:rsidP="00F64DD6">
      <w:pPr>
        <w:autoSpaceDE w:val="0"/>
        <w:autoSpaceDN w:val="0"/>
        <w:adjustRightInd w:val="0"/>
        <w:spacing w:after="0" w:line="240" w:lineRule="auto"/>
        <w:rPr>
          <w:rFonts w:ascii="Trebuchet MS" w:hAnsi="Trebuchet MS" w:cs="SabonLTStd-Roman"/>
          <w:sz w:val="24"/>
          <w:szCs w:val="24"/>
        </w:rPr>
      </w:pPr>
      <w:r w:rsidRPr="00F64DD6">
        <w:rPr>
          <w:rFonts w:ascii="SabonLTStd-Roman" w:hAnsi="SabonLTStd-Roman" w:cs="SabonLTStd-Roman"/>
          <w:sz w:val="24"/>
          <w:szCs w:val="24"/>
        </w:rPr>
        <w:t>when they choose to purchase its stock instead of Pelican’s?</w:t>
      </w:r>
    </w:p>
    <w:sectPr w:rsidR="00F64DD6" w:rsidRPr="00F6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SabonLTStd-Roman">
    <w:altName w:val="Calibri"/>
    <w:panose1 w:val="00000000000000000000"/>
    <w:charset w:val="00"/>
    <w:family w:val="auto"/>
    <w:notTrueType/>
    <w:pitch w:val="default"/>
    <w:sig w:usb0="00000003" w:usb1="00000000" w:usb2="00000000" w:usb3="00000000" w:csb0="00000001" w:csb1="00000000"/>
  </w:font>
  <w:font w:name="SabonLTStd-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6766D5"/>
    <w:rsid w:val="00D32FBC"/>
    <w:rsid w:val="00E66F90"/>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1</cp:revision>
  <dcterms:created xsi:type="dcterms:W3CDTF">2019-01-26T20:04:00Z</dcterms:created>
  <dcterms:modified xsi:type="dcterms:W3CDTF">2019-01-26T20:29:00Z</dcterms:modified>
</cp:coreProperties>
</file>